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14" w:rsidRPr="00C63714" w:rsidRDefault="00C63714" w:rsidP="00C63714">
      <w:pPr>
        <w:overflowPunct w:val="0"/>
        <w:autoSpaceDE w:val="0"/>
        <w:autoSpaceDN w:val="0"/>
        <w:adjustRightInd w:val="0"/>
        <w:spacing w:before="720" w:after="0" w:line="360" w:lineRule="auto"/>
        <w:textAlignment w:val="baseline"/>
        <w:outlineLvl w:val="0"/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  <w:t>OBWIESZCZENIE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C63714">
        <w:rPr>
          <w:rFonts w:ascii="Arial" w:eastAsia="Times New Roman" w:hAnsi="Arial" w:cs="Times New Roman"/>
          <w:b/>
          <w:sz w:val="24"/>
          <w:szCs w:val="20"/>
          <w:lang w:eastAsia="pl-PL"/>
        </w:rPr>
        <w:t>o wszczęciu postępowania administracyjnego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Stosownie do wymogów art. 49 ustawy z 14 czerwca 1960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Kodeks postępowania administracyjnego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(Dz.U.2024.572) oraz art. 15 ust. 4 w związku art. 12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 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dnia 24 kwietnia 2009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(Dz.U.2024.1286),</w:t>
      </w:r>
    </w:p>
    <w:p w:rsidR="00C63714" w:rsidRPr="008C0A13" w:rsidRDefault="00C63714" w:rsidP="00C63714">
      <w:pPr>
        <w:keepNext/>
        <w:keepLines/>
        <w:overflowPunct w:val="0"/>
        <w:autoSpaceDE w:val="0"/>
        <w:autoSpaceDN w:val="0"/>
        <w:adjustRightInd w:val="0"/>
        <w:spacing w:after="28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6"/>
          <w:lang w:eastAsia="pl-PL"/>
        </w:rPr>
      </w:pPr>
      <w:r w:rsidRPr="008C0A13">
        <w:rPr>
          <w:rFonts w:ascii="Arial" w:eastAsia="Times New Roman" w:hAnsi="Arial" w:cs="Times New Roman"/>
          <w:b/>
          <w:sz w:val="24"/>
          <w:szCs w:val="26"/>
          <w:lang w:eastAsia="pl-PL"/>
        </w:rPr>
        <w:t>WOJEWODA MAŁOPOLSKI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zawiadamia o wydaniu decyzji nr </w:t>
      </w:r>
      <w:r w:rsidR="00E85B20"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/BS/2024 znak: WI II.7840.30.</w:t>
      </w:r>
      <w:r w:rsidR="00E85B20"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6.2024.EL z 12.11.2024 r., </w:t>
      </w:r>
      <w:r w:rsidRPr="008C0A13"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zatwierdzającej </w:t>
      </w:r>
      <w:r w:rsidRPr="00C63714">
        <w:rPr>
          <w:rFonts w:ascii="Arial" w:eastAsia="Times New Roman" w:hAnsi="Arial" w:cs="Times New Roman"/>
          <w:bCs/>
          <w:sz w:val="24"/>
          <w:szCs w:val="24"/>
          <w:lang w:eastAsia="pl-PL"/>
        </w:rPr>
        <w:t>projekt zagospodarowania terenu i projekt architektoniczno-budowlany oraz udzielającej pozwolenia na budowę, inwestycji towarzyszącej inwestycji w zakresie terminalu regazyfikacyjnego skroplonego gazu ziemnego w Świnoujściu pn.:</w:t>
      </w:r>
      <w:r w:rsidRPr="00C63714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Pr="00C63714"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>Budowa gazociągu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 300 MOP 8,4 MPa L ~0,75 km Swarzów – Grzybów – przekroczenie rzeki Wisła, 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zadania pn.: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Budowa gazociągu DN 300 MOP 8,4 MPa L ~1,1 km Swarzów – Grzybów – przekroczenie rzeki Wisła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obejmującej: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Budowę gazociągu wysokiego ciśnienia o średnicy DN 300 i maksymalnym ciśnieniu roboczym MOP = 8,4 MPa długości L ~750,0 m, w tym:</w:t>
      </w:r>
    </w:p>
    <w:p w:rsidR="00C63714" w:rsidRPr="00C63714" w:rsidRDefault="00C63714" w:rsidP="00C63714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~739 m w miejscowości Kanna, gmina Bolesław,</w:t>
      </w:r>
    </w:p>
    <w:p w:rsidR="00C63714" w:rsidRPr="00C63714" w:rsidRDefault="00C63714" w:rsidP="00C63714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~11 m w miejscowości Ćwików, gmina Olesno.</w:t>
      </w:r>
    </w:p>
    <w:p w:rsidR="00C63714" w:rsidRPr="00C63714" w:rsidRDefault="00C63714" w:rsidP="00E85B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right="-142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>Budowę kątowego zespołu zaporowo-upustowego (ZZU) DN 300 MOP = 8,4 MPa,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 miejscowości Bolesław,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Budowę wstawki rurowej, tj. odcinka 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gazociągu wysokiego ciśnienia o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średnicy DN 50 MOP 8,4 MPa długości L ~15,0 m w miejscu rozbiórki zespołu zaporowo-upustowego nr 1695P i 1697P, w miejscowości Ćwików, gmina Olesno. 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Budowę drogi dojazdowej do zespołu zaporowo-upustowego (ZZU) DN 300 MOP = 8,4 MPa, w miejscowości Bolesław,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Budowę mostu tymczasowego na kanale Zyblikiewicz 1, w miejscowości Kanna,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Budowę dróg tymczasowych zapewniających dojazd do placu budowy, w miejscowości Kanna, gmina Bolesław. 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Przebudowę istniejącego zjazdu zwykłego z drogi powiatowej nr 1303K Zawierzbie – Kozłów – Szczucin, na działce nr 1000, w miejscowości Bolesław,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Remont istniejących dróg wewnętrznych i dojazdów na czas wykonywania robót budowlanych, zapewniających dojazd do placu budowy.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Unieczynnienie odcinków gazociągu DN 300 na przekroczeniu rzeki Wisła, w miejscowości Kanna,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Rozbiórkę zespołu zaporowo-upustowego nr 1700P i 1701P z odwadniaczem O722, w miejscowości Kanna, gmina Bolesław.</w:t>
      </w:r>
    </w:p>
    <w:p w:rsidR="00C63714" w:rsidRPr="00C63714" w:rsidRDefault="00C63714" w:rsidP="00C637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Rozbiórkę zespołu zaporowo-upustowego nr 1695P i 1697P w miejscowości Ćwików, gmina Olesno.</w:t>
      </w:r>
    </w:p>
    <w:p w:rsidR="00C63714" w:rsidRPr="00C63714" w:rsidRDefault="00C63714" w:rsidP="00EF336B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u w:val="single"/>
          <w:lang w:eastAsia="pl-PL"/>
        </w:rPr>
        <w:t>Miejsce wykonywania robót budowlanych: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>Inwestycją objęte są nieruchomości (lub ich części) położone w granicach terenu wskazanego we wniosku, zlokalizowane w województwie małopolskim w powiecie dąbrowskim:</w:t>
      </w:r>
    </w:p>
    <w:p w:rsidR="00C63714" w:rsidRPr="00C63714" w:rsidRDefault="00C63714" w:rsidP="00C6371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Bolesław:</w:t>
      </w:r>
    </w:p>
    <w:p w:rsidR="00C63714" w:rsidRPr="00C63714" w:rsidRDefault="00C63714" w:rsidP="00C63714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miejscowość 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>Bolesław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, jednostka ewidencyjna 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>120401_2 Bolesław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, obręb ewidencyjny 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>0001 Bolesław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>, działki nr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208/1, 208/2, 209/1, 209/2, 1000;</w:t>
      </w:r>
    </w:p>
    <w:p w:rsidR="00C63714" w:rsidRPr="00C63714" w:rsidRDefault="00C63714" w:rsidP="00EF336B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miejscowość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Kanna, 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jednostka ewidencyjna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120401_2 Bolesław, 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>obręb ewidencyjny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0002 Kanna, 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>działki nr</w:t>
      </w:r>
      <w:r w:rsidRPr="00C637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698, 87, 88, 89, 133, 134, 135, 136, 90, 180, 715, 181, 182, 183, 184, 185, 186, 187, 188, 189, 190, 191, 192, 193, 194, 195, 196, 702, 237, 238, 239, 240, 241, 242, 247, 246, 704, 276/1, 275/1, 274/1, 273/1, 272/1, 271/1, 270/1, 269/1, 268/1, 267, 709, 514, 515/1, 516/1, 517/1, 518/1, 519/1, 215, 518/2, 519/2, 302/1;</w:t>
      </w:r>
    </w:p>
    <w:p w:rsidR="00C63714" w:rsidRPr="00C63714" w:rsidRDefault="00C63714" w:rsidP="00C6371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Olesno:</w:t>
      </w:r>
    </w:p>
    <w:p w:rsidR="00C63714" w:rsidRDefault="00C63714" w:rsidP="00EF336B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240" w:line="360" w:lineRule="auto"/>
        <w:ind w:left="568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miejscowość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Ćwików, 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jednostka ewidencyjna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120405_2 Olesno, 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obręb ewidencyjny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0003 Ćwików, 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działki nr 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229, 232/3, 232/4, 231, 66/3.</w:t>
      </w:r>
    </w:p>
    <w:p w:rsidR="00C63714" w:rsidRPr="00C63714" w:rsidRDefault="00C63714" w:rsidP="00EF336B">
      <w:pPr>
        <w:overflowPunct w:val="0"/>
        <w:autoSpaceDE w:val="0"/>
        <w:autoSpaceDN w:val="0"/>
        <w:adjustRightInd w:val="0"/>
        <w:spacing w:after="7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>Obszar oddziaływania obiektu, o którym mowa w art. 3 pkt 20 ustawy Prawo budowlane, zawiera się w granicach ww. działek zajętych pod planowaną inwestycję.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</w:pPr>
      <w:r w:rsidRPr="00C63714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  <w:lastRenderedPageBreak/>
        <w:t>Równocześnie zawiadamia, że: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przepisów zawartych w art. 34 ust. 1 ustawy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wyżej wymieniona decyzja podlega natychmiastowemu wykonaniu.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wyżej wymienionej decyzji przysługuje stronom postępowania prawo wniesienia odwo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łania do Głównego Insp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ektora Nadzoru Budowlanego, ul.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Krucza 38/42, 00-926 Warsza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 xml:space="preserve">wa za pośrednictwem Wojewody Małopolskiego 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terminie 7 dni od dnia doręczenia decyzji stronie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albo w terminie 14 dni od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dnia, w którym zawiadomienie o jej wy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daniu w drodze obwiesz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czenia w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urzędzie wojewódzkim zostało dokonane.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63714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eastAsia="pl-PL"/>
        </w:rPr>
        <w:t>Odwołanie od decyzji powinno zawierać zarzuty odnoszące się do decyzji, określając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istotę i zakres żądania będącego przedmiotem odwołania oraz wskazywać dowody uzasad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softHyphen/>
        <w:t>niające to żądanie.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Zgodnie z art. 49 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softHyphen/>
        <w:t>cyjnego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zawiadomienie uważa się za dokonane po upływie 14 dni od 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 publicznego ogłoszenia, ze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skutkiem doręczenia na dzień obwieszczenia w urzędzie wojewódzkim 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(art.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 ustawy </w:t>
      </w:r>
      <w:r w:rsidRPr="00C63714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o inwestycjach w zakresie terminalu regazyfikacyjnego skroplonego gazu ziemnego w 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 upływem terminu do wniesienia odwołania strona może zrzec się prawa do wniesie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nia odwołania wobec Wojewody Małopolskiego. Z dniem doręczenia Wojewo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dzie Małopol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skiemu oświadczenia o zrzeczeniu się prawa do wniesienia odwołania przez ostatnią ze stron postępowania, decyzja staje się ostateczna i prawomocna.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Zainteresowane strony lub ich pełnomocnicy (legitymujący się pełnomo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cnictwem sporządzonym zgodnie z art. 32 i 33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softHyphen/>
        <w:t>cyjnego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, które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podlega opłacie skarbowej zgodnie z przepisami ustawy z dnia 16 listopada 2006 r.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 opłacie skarbowej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 mogą zapoznać się z treścią decyzji oraz dokumentacją sprawy w Wydziale Infrastruktury Małopolskiego Urzędu Wojewódz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kiego w Krakowie, ul. Basztowa 22, pokój nr 66, 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 dniach pracy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Urzędu, poniedziałek – piątek w 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godzinach 7.30 – 15.30, po uprzednim umówieniu – telefon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nr 12 39 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21 666.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Kontakt z Małopolskim Urzędem Wojewódzkim zapewniony jest także za pośrednictwem platformy ePUAP pod adresem: </w:t>
      </w:r>
      <w:r w:rsidRPr="00C63714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/ag9300lhke/skrytka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F336B" w:rsidRPr="00EF336B" w:rsidRDefault="00EF336B" w:rsidP="00EF33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Obwieszczenie podlega publikacji :</w:t>
      </w:r>
    </w:p>
    <w:p w:rsidR="00EF336B" w:rsidRPr="00EF336B" w:rsidRDefault="00EF336B" w:rsidP="00EF3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 Małopolskiego Urzędu Wojewódzkiego w Krakowie, na stronie internetowej Urzędu Wojewódzkiego oraz w Biuletynie Informacji Publicznej;</w:t>
      </w:r>
    </w:p>
    <w:p w:rsidR="00EF336B" w:rsidRPr="00EF336B" w:rsidRDefault="00EF336B" w:rsidP="00EF3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ogłoszeń, na stronie internetowej i w Biuletynach Informacji Publicznej:</w:t>
      </w:r>
    </w:p>
    <w:p w:rsidR="009324E6" w:rsidRPr="009324E6" w:rsidRDefault="009324E6" w:rsidP="009324E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324E6">
        <w:rPr>
          <w:rFonts w:ascii="Arial" w:eastAsia="Times New Roman" w:hAnsi="Arial" w:cs="Arial"/>
          <w:iCs/>
          <w:sz w:val="24"/>
          <w:szCs w:val="24"/>
          <w:lang w:eastAsia="pl-PL"/>
        </w:rPr>
        <w:t>Urzędu Gminy Olesno,</w:t>
      </w:r>
    </w:p>
    <w:p w:rsidR="009324E6" w:rsidRPr="009324E6" w:rsidRDefault="009324E6" w:rsidP="009324E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324E6">
        <w:rPr>
          <w:rFonts w:ascii="Arial" w:eastAsia="Times New Roman" w:hAnsi="Arial" w:cs="Arial"/>
          <w:iCs/>
          <w:sz w:val="24"/>
          <w:szCs w:val="24"/>
          <w:lang w:eastAsia="pl-PL"/>
        </w:rPr>
        <w:t>Urzędu Gminy Bolesław,</w:t>
      </w:r>
    </w:p>
    <w:p w:rsidR="00EF336B" w:rsidRPr="00EF336B" w:rsidRDefault="00EF336B" w:rsidP="00EF336B">
      <w:pP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właściwych ze względu na lokalizację inwestycji w zakresie terminalu;</w:t>
      </w:r>
    </w:p>
    <w:p w:rsidR="00EF336B" w:rsidRPr="00EF336B" w:rsidRDefault="00EF336B" w:rsidP="00EF3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w prasie o zasięgu ogólnopolskim;</w:t>
      </w:r>
    </w:p>
    <w:p w:rsidR="00EF336B" w:rsidRPr="00EF336B" w:rsidRDefault="00EF336B" w:rsidP="00EF33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podstawie art. 12 ust. 1, 1a i 2, w związku z art. 15 ust. 4 ustawy </w:t>
      </w:r>
      <w:r w:rsidRPr="00EF336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inwestycjach w zakresie terminalu regazyfikacyjnego skroplonego gazu ziemnego w Świnoujściu</w:t>
      </w: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6404FA" w:rsidRDefault="006404FA" w:rsidP="00C63714">
      <w:pPr>
        <w:spacing w:after="0"/>
      </w:pPr>
    </w:p>
    <w:sectPr w:rsidR="006404FA" w:rsidSect="00C63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14" w:rsidRDefault="00C63714" w:rsidP="00C63714">
      <w:pPr>
        <w:spacing w:after="0" w:line="240" w:lineRule="auto"/>
      </w:pPr>
      <w:r>
        <w:separator/>
      </w:r>
    </w:p>
  </w:endnote>
  <w:endnote w:type="continuationSeparator" w:id="0">
    <w:p w:rsidR="00C63714" w:rsidRDefault="00C63714" w:rsidP="00C6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4" w:rsidRDefault="000168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4" w:rsidRDefault="000168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4" w:rsidRDefault="00016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14" w:rsidRDefault="00C63714" w:rsidP="00C63714">
      <w:pPr>
        <w:spacing w:after="0" w:line="240" w:lineRule="auto"/>
      </w:pPr>
      <w:r>
        <w:separator/>
      </w:r>
    </w:p>
  </w:footnote>
  <w:footnote w:type="continuationSeparator" w:id="0">
    <w:p w:rsidR="00C63714" w:rsidRDefault="00C63714" w:rsidP="00C6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4" w:rsidRDefault="000168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4" w:rsidRDefault="000168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14" w:rsidRPr="00C63714" w:rsidRDefault="00C63714" w:rsidP="00C63714">
    <w:pPr>
      <w:spacing w:after="480" w:line="36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C63714">
      <w:rPr>
        <w:rFonts w:ascii="Arial" w:eastAsia="Times New Roman" w:hAnsi="Arial" w:cs="Arial"/>
        <w:sz w:val="24"/>
        <w:szCs w:val="24"/>
        <w:lang w:eastAsia="pl-PL"/>
      </w:rPr>
      <w:t xml:space="preserve">Data publicznego ogłoszenia </w:t>
    </w:r>
    <w:r w:rsidRPr="00C63714">
      <w:rPr>
        <w:rFonts w:ascii="Arial" w:eastAsia="Times New Roman" w:hAnsi="Arial" w:cs="Arial"/>
        <w:color w:val="BFBFBF"/>
        <w:sz w:val="24"/>
        <w:szCs w:val="24"/>
        <w:lang w:eastAsia="pl-PL"/>
      </w:rPr>
      <w:t>_</w:t>
    </w:r>
    <w:r w:rsidR="000168E4">
      <w:rPr>
        <w:rFonts w:ascii="Arial" w:eastAsia="Times New Roman" w:hAnsi="Arial" w:cs="Arial"/>
        <w:color w:val="BFBFBF"/>
        <w:sz w:val="24"/>
        <w:szCs w:val="24"/>
        <w:lang w:eastAsia="pl-PL"/>
      </w:rPr>
      <w:t>12.11.2024</w:t>
    </w:r>
    <w:bookmarkStart w:id="0" w:name="_GoBack"/>
    <w:bookmarkEnd w:id="0"/>
    <w:r w:rsidRPr="00C63714">
      <w:rPr>
        <w:rFonts w:ascii="Arial" w:eastAsia="Times New Roman" w:hAnsi="Arial" w:cs="Arial"/>
        <w:color w:val="BFBFBF"/>
        <w:sz w:val="24"/>
        <w:szCs w:val="24"/>
        <w:lang w:eastAsia="pl-PL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B68"/>
    <w:multiLevelType w:val="hybridMultilevel"/>
    <w:tmpl w:val="37C85D7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A92"/>
    <w:multiLevelType w:val="hybridMultilevel"/>
    <w:tmpl w:val="1E96BB64"/>
    <w:lvl w:ilvl="0" w:tplc="7BCA788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48EC"/>
    <w:multiLevelType w:val="hybridMultilevel"/>
    <w:tmpl w:val="5F5A77F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11BE0F2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4"/>
    <w:rsid w:val="000168E4"/>
    <w:rsid w:val="006404FA"/>
    <w:rsid w:val="00724396"/>
    <w:rsid w:val="007B1519"/>
    <w:rsid w:val="008C0A13"/>
    <w:rsid w:val="009324E6"/>
    <w:rsid w:val="009778DE"/>
    <w:rsid w:val="009B037F"/>
    <w:rsid w:val="00A82632"/>
    <w:rsid w:val="00AA51A7"/>
    <w:rsid w:val="00AC1190"/>
    <w:rsid w:val="00C63714"/>
    <w:rsid w:val="00C81401"/>
    <w:rsid w:val="00E85B20"/>
    <w:rsid w:val="00E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6922"/>
  <w15:chartTrackingRefBased/>
  <w15:docId w15:val="{ACDEEDE2-CC6F-49D9-9AD3-855D1AD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14"/>
  </w:style>
  <w:style w:type="paragraph" w:styleId="Stopka">
    <w:name w:val="footer"/>
    <w:basedOn w:val="Normalny"/>
    <w:link w:val="Stopka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dcterms:created xsi:type="dcterms:W3CDTF">2024-11-12T13:11:00Z</dcterms:created>
  <dcterms:modified xsi:type="dcterms:W3CDTF">2024-11-12T13:11:00Z</dcterms:modified>
</cp:coreProperties>
</file>